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42A75" w:rsidRPr="00E42A75" w:rsidRDefault="00E42A75" w:rsidP="00E42A75">
      <w:pPr>
        <w:tabs>
          <w:tab w:val="right" w:pos="8640"/>
        </w:tabs>
        <w:ind w:left="720" w:right="720"/>
        <w:rPr>
          <w:rFonts w:ascii="Arial Black" w:hAnsi="Arial Black"/>
          <w:b/>
          <w:color w:val="1F497D" w:themeColor="text2"/>
          <w:sz w:val="32"/>
          <w:szCs w:val="32"/>
        </w:rPr>
      </w:pPr>
      <w:r w:rsidRPr="00E42A75">
        <w:rPr>
          <w:rFonts w:ascii="Arial Black" w:hAnsi="Arial Black"/>
          <w:b/>
          <w:color w:val="1F497D" w:themeColor="text2"/>
          <w:sz w:val="32"/>
          <w:szCs w:val="32"/>
        </w:rPr>
        <w:t xml:space="preserve">ACC501 Solved Quiz No 3 </w:t>
      </w:r>
      <w:r w:rsidRPr="00E42A75">
        <w:rPr>
          <w:rFonts w:ascii="Arial Black" w:hAnsi="Arial Black"/>
          <w:b/>
          <w:color w:val="1F497D" w:themeColor="text2"/>
          <w:sz w:val="32"/>
          <w:szCs w:val="32"/>
          <w:u w:val="single"/>
        </w:rPr>
        <w:t>June 23, 2006</w:t>
      </w:r>
    </w:p>
    <w:p w:rsidR="00E42A75" w:rsidRPr="006273AE" w:rsidRDefault="00E42A75" w:rsidP="00E42A75">
      <w:pPr>
        <w:ind w:right="720"/>
      </w:pPr>
      <w:bookmarkStart w:id="0" w:name="_GoBack"/>
      <w:bookmarkEnd w:id="0"/>
    </w:p>
    <w:p w:rsidR="00E42A75" w:rsidRPr="006273AE" w:rsidRDefault="00E42A75" w:rsidP="00E42A75">
      <w:pPr>
        <w:numPr>
          <w:ilvl w:val="0"/>
          <w:numId w:val="1"/>
        </w:numPr>
        <w:spacing w:after="0" w:line="240" w:lineRule="auto"/>
        <w:ind w:left="720" w:right="720"/>
        <w:rPr>
          <w:rFonts w:ascii="Tunga" w:hAnsi="Tunga"/>
          <w:b/>
        </w:rPr>
      </w:pPr>
      <w:r w:rsidRPr="006273AE">
        <w:rPr>
          <w:rFonts w:ascii="Tunga" w:hAnsi="Tunga"/>
          <w:b/>
        </w:rPr>
        <w:t>Suppose PTCL Corporation Ltd. next dividend will be $12 per share. Investors require 18% return on the similar stocks. PTCL Corporation’s dividend grows by 7% every year. What is the value of PTCL stock today?</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$119.085</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$133.333</w:t>
      </w:r>
    </w:p>
    <w:p w:rsidR="00E42A75" w:rsidRPr="006273AE" w:rsidRDefault="00E42A75" w:rsidP="00E42A75">
      <w:pPr>
        <w:numPr>
          <w:ilvl w:val="3"/>
          <w:numId w:val="1"/>
        </w:numPr>
        <w:spacing w:after="0" w:line="240" w:lineRule="auto"/>
        <w:ind w:left="720" w:right="720"/>
        <w:rPr>
          <w:rFonts w:ascii="Tunga" w:hAnsi="Tunga"/>
          <w:highlight w:val="darkGray"/>
        </w:rPr>
      </w:pPr>
      <w:r w:rsidRPr="006273AE">
        <w:rPr>
          <w:rFonts w:ascii="Tunga" w:hAnsi="Tunga"/>
          <w:highlight w:val="darkGray"/>
        </w:rPr>
        <w:t>$109.091</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$106.063</w:t>
      </w:r>
    </w:p>
    <w:p w:rsidR="00E42A75" w:rsidRPr="006273AE" w:rsidRDefault="00E42A75" w:rsidP="00E42A75">
      <w:pPr>
        <w:ind w:left="720" w:right="720"/>
        <w:rPr>
          <w:rFonts w:ascii="Tunga" w:hAnsi="Tunga"/>
        </w:rPr>
      </w:pPr>
    </w:p>
    <w:p w:rsidR="00E42A75" w:rsidRPr="006273AE" w:rsidRDefault="00E42A75" w:rsidP="00E42A75">
      <w:pPr>
        <w:numPr>
          <w:ilvl w:val="0"/>
          <w:numId w:val="1"/>
        </w:numPr>
        <w:tabs>
          <w:tab w:val="left" w:pos="720"/>
        </w:tabs>
        <w:spacing w:after="0" w:line="240" w:lineRule="auto"/>
        <w:ind w:left="720" w:right="720"/>
        <w:rPr>
          <w:rFonts w:ascii="Tunga" w:hAnsi="Tunga"/>
          <w:b/>
        </w:rPr>
      </w:pPr>
      <w:r w:rsidRPr="006273AE">
        <w:rPr>
          <w:rFonts w:ascii="Tunga" w:hAnsi="Tunga"/>
          <w:b/>
        </w:rPr>
        <w:t>Al-</w:t>
      </w:r>
      <w:proofErr w:type="spellStart"/>
      <w:r w:rsidRPr="006273AE">
        <w:rPr>
          <w:rFonts w:ascii="Tunga" w:hAnsi="Tunga"/>
          <w:b/>
        </w:rPr>
        <w:t>Saeed</w:t>
      </w:r>
      <w:proofErr w:type="spellEnd"/>
      <w:r w:rsidRPr="006273AE">
        <w:rPr>
          <w:rFonts w:ascii="Tunga" w:hAnsi="Tunga"/>
          <w:b/>
        </w:rPr>
        <w:t xml:space="preserve"> Corporation stock is currently selling for $60 per share. The next dividend is $9 per share and it is expected to grow by 12% more or less indefinitely. What return does this stock offer to you?</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15%</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25%</w:t>
      </w:r>
    </w:p>
    <w:p w:rsidR="00E42A75" w:rsidRPr="006273AE" w:rsidRDefault="00E42A75" w:rsidP="00E42A75">
      <w:pPr>
        <w:numPr>
          <w:ilvl w:val="3"/>
          <w:numId w:val="1"/>
        </w:numPr>
        <w:spacing w:after="0" w:line="240" w:lineRule="auto"/>
        <w:ind w:left="720" w:right="720"/>
        <w:rPr>
          <w:rFonts w:ascii="Tunga" w:hAnsi="Tunga"/>
          <w:highlight w:val="darkGray"/>
        </w:rPr>
      </w:pPr>
      <w:r w:rsidRPr="006273AE">
        <w:rPr>
          <w:rFonts w:ascii="Tunga" w:hAnsi="Tunga"/>
          <w:highlight w:val="darkGray"/>
        </w:rPr>
        <w:t>27%</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17%</w:t>
      </w:r>
    </w:p>
    <w:p w:rsidR="00E42A75" w:rsidRPr="006273AE" w:rsidRDefault="00E42A75" w:rsidP="00E42A75">
      <w:pPr>
        <w:ind w:left="720" w:right="720"/>
        <w:rPr>
          <w:rFonts w:ascii="Tunga" w:hAnsi="Tunga"/>
        </w:rPr>
      </w:pPr>
    </w:p>
    <w:p w:rsidR="00E42A75" w:rsidRPr="006273AE" w:rsidRDefault="00E42A75" w:rsidP="00E42A75">
      <w:pPr>
        <w:numPr>
          <w:ilvl w:val="0"/>
          <w:numId w:val="1"/>
        </w:numPr>
        <w:spacing w:after="0" w:line="240" w:lineRule="auto"/>
        <w:ind w:left="720" w:right="720"/>
        <w:rPr>
          <w:rFonts w:ascii="Tunga" w:hAnsi="Tunga"/>
          <w:b/>
        </w:rPr>
      </w:pPr>
      <w:r w:rsidRPr="006273AE">
        <w:rPr>
          <w:rFonts w:ascii="Tunga" w:hAnsi="Tunga"/>
          <w:b/>
        </w:rPr>
        <w:t>Consider Merry Corporation that has 500 shareholders and is going to elect its eight directors. If you hold 19 shares, how many votes under cumulative voting system you may cast for the appointment of directors for Merry Corporation?</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115 votes</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130 votes</w:t>
      </w:r>
    </w:p>
    <w:p w:rsidR="00E42A75" w:rsidRPr="006273AE" w:rsidRDefault="00E42A75" w:rsidP="00E42A75">
      <w:pPr>
        <w:numPr>
          <w:ilvl w:val="3"/>
          <w:numId w:val="1"/>
        </w:numPr>
        <w:spacing w:after="0" w:line="240" w:lineRule="auto"/>
        <w:ind w:left="720" w:right="720"/>
        <w:rPr>
          <w:rFonts w:ascii="Tunga" w:hAnsi="Tunga"/>
          <w:highlight w:val="darkGray"/>
        </w:rPr>
      </w:pPr>
      <w:r w:rsidRPr="006273AE">
        <w:rPr>
          <w:rFonts w:ascii="Tunga" w:hAnsi="Tunga"/>
          <w:highlight w:val="darkGray"/>
        </w:rPr>
        <w:t>152 votes</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165 votes</w:t>
      </w:r>
    </w:p>
    <w:p w:rsidR="00E42A75" w:rsidRPr="006273AE" w:rsidRDefault="00E42A75" w:rsidP="00E42A75">
      <w:pPr>
        <w:ind w:left="720" w:right="720"/>
        <w:rPr>
          <w:rFonts w:ascii="Tunga" w:hAnsi="Tunga"/>
        </w:rPr>
      </w:pPr>
    </w:p>
    <w:p w:rsidR="00E42A75" w:rsidRPr="006273AE" w:rsidRDefault="00E42A75" w:rsidP="00E42A75">
      <w:pPr>
        <w:numPr>
          <w:ilvl w:val="0"/>
          <w:numId w:val="1"/>
        </w:numPr>
        <w:spacing w:after="0" w:line="240" w:lineRule="auto"/>
        <w:ind w:left="720" w:right="720"/>
        <w:rPr>
          <w:rFonts w:ascii="Tunga" w:hAnsi="Tunga"/>
          <w:b/>
        </w:rPr>
      </w:pPr>
      <w:r w:rsidRPr="006273AE">
        <w:rPr>
          <w:rFonts w:ascii="Tunga" w:hAnsi="Tunga"/>
          <w:b/>
        </w:rPr>
        <w:t>Shareholders sometimes have the right to share proportionately in any new stock sold by the company. This right of shareholder is called ________________.</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Preference right</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Cumulative right</w:t>
      </w:r>
    </w:p>
    <w:p w:rsidR="00E42A75" w:rsidRPr="006273AE" w:rsidRDefault="00E42A75" w:rsidP="00E42A75">
      <w:pPr>
        <w:numPr>
          <w:ilvl w:val="3"/>
          <w:numId w:val="1"/>
        </w:numPr>
        <w:spacing w:after="0" w:line="240" w:lineRule="auto"/>
        <w:ind w:left="720" w:right="720"/>
        <w:rPr>
          <w:rFonts w:ascii="Tunga" w:hAnsi="Tunga"/>
          <w:highlight w:val="darkGray"/>
        </w:rPr>
      </w:pPr>
      <w:r w:rsidRPr="006273AE">
        <w:rPr>
          <w:rFonts w:ascii="Tunga" w:hAnsi="Tunga"/>
          <w:highlight w:val="darkGray"/>
        </w:rPr>
        <w:lastRenderedPageBreak/>
        <w:t>Preemptive right</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None of the given options</w:t>
      </w:r>
    </w:p>
    <w:p w:rsidR="00E42A75" w:rsidRPr="006273AE" w:rsidRDefault="00E42A75" w:rsidP="00E42A75">
      <w:pPr>
        <w:numPr>
          <w:ilvl w:val="0"/>
          <w:numId w:val="1"/>
        </w:numPr>
        <w:spacing w:after="0" w:line="240" w:lineRule="auto"/>
        <w:ind w:left="720" w:right="720"/>
        <w:rPr>
          <w:rFonts w:ascii="Tunga" w:hAnsi="Tunga"/>
          <w:b/>
        </w:rPr>
      </w:pPr>
      <w:r w:rsidRPr="006273AE">
        <w:rPr>
          <w:rFonts w:ascii="Tunga" w:hAnsi="Tunga"/>
          <w:b/>
        </w:rPr>
        <w:t xml:space="preserve">National Bank of </w:t>
      </w:r>
      <w:smartTag w:uri="urn:schemas-microsoft-com:office:smarttags" w:element="place">
        <w:smartTag w:uri="urn:schemas-microsoft-com:office:smarttags" w:element="country-region">
          <w:r w:rsidRPr="006273AE">
            <w:rPr>
              <w:rFonts w:ascii="Tunga" w:hAnsi="Tunga"/>
              <w:b/>
            </w:rPr>
            <w:t>Pakistan</w:t>
          </w:r>
        </w:smartTag>
      </w:smartTag>
      <w:r w:rsidRPr="006273AE">
        <w:rPr>
          <w:rFonts w:ascii="Tunga" w:hAnsi="Tunga"/>
          <w:b/>
        </w:rPr>
        <w:t xml:space="preserve"> has newly issued five hundred thousand shares to the general public. You applied for 500 shares with National Bank of </w:t>
      </w:r>
      <w:smartTag w:uri="urn:schemas-microsoft-com:office:smarttags" w:element="place">
        <w:smartTag w:uri="urn:schemas-microsoft-com:office:smarttags" w:element="country-region">
          <w:r w:rsidRPr="006273AE">
            <w:rPr>
              <w:rFonts w:ascii="Tunga" w:hAnsi="Tunga"/>
              <w:b/>
            </w:rPr>
            <w:t>Pakistan</w:t>
          </w:r>
        </w:smartTag>
      </w:smartTag>
      <w:r w:rsidRPr="006273AE">
        <w:rPr>
          <w:rFonts w:ascii="Tunga" w:hAnsi="Tunga"/>
          <w:b/>
        </w:rPr>
        <w:t xml:space="preserve">. Suppose you receive acknowledgement letter from National Bank of </w:t>
      </w:r>
      <w:smartTag w:uri="urn:schemas-microsoft-com:office:smarttags" w:element="place">
        <w:smartTag w:uri="urn:schemas-microsoft-com:office:smarttags" w:element="country-region">
          <w:r w:rsidRPr="006273AE">
            <w:rPr>
              <w:rFonts w:ascii="Tunga" w:hAnsi="Tunga"/>
              <w:b/>
            </w:rPr>
            <w:t>Pakistan</w:t>
          </w:r>
        </w:smartTag>
      </w:smartTag>
      <w:r w:rsidRPr="006273AE">
        <w:rPr>
          <w:rFonts w:ascii="Tunga" w:hAnsi="Tunga"/>
          <w:b/>
        </w:rPr>
        <w:t xml:space="preserve"> that you have been allotted 500 shares. Now you are interesting to sell these shares to </w:t>
      </w:r>
      <w:proofErr w:type="spellStart"/>
      <w:r w:rsidRPr="006273AE">
        <w:rPr>
          <w:rFonts w:ascii="Tunga" w:hAnsi="Tunga"/>
          <w:b/>
        </w:rPr>
        <w:t>Aslam</w:t>
      </w:r>
      <w:proofErr w:type="spellEnd"/>
      <w:r w:rsidRPr="006273AE">
        <w:rPr>
          <w:rFonts w:ascii="Tunga" w:hAnsi="Tunga"/>
          <w:b/>
        </w:rPr>
        <w:t>. The market in which first transaction of shares took place is a:</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Secondary market</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Treasury  market</w:t>
      </w:r>
    </w:p>
    <w:p w:rsidR="00E42A75" w:rsidRPr="006273AE" w:rsidRDefault="00E42A75" w:rsidP="00E42A75">
      <w:pPr>
        <w:numPr>
          <w:ilvl w:val="3"/>
          <w:numId w:val="1"/>
        </w:numPr>
        <w:spacing w:after="0" w:line="240" w:lineRule="auto"/>
        <w:ind w:left="720" w:right="720"/>
        <w:rPr>
          <w:rFonts w:ascii="Tunga" w:hAnsi="Tunga"/>
          <w:highlight w:val="darkGray"/>
        </w:rPr>
      </w:pPr>
      <w:r w:rsidRPr="006273AE">
        <w:rPr>
          <w:rFonts w:ascii="Tunga" w:hAnsi="Tunga"/>
          <w:highlight w:val="darkGray"/>
        </w:rPr>
        <w:t>Primary market</w:t>
      </w:r>
    </w:p>
    <w:p w:rsidR="00E42A75" w:rsidRPr="006273AE" w:rsidRDefault="00E42A75" w:rsidP="00E42A75">
      <w:pPr>
        <w:numPr>
          <w:ilvl w:val="3"/>
          <w:numId w:val="1"/>
        </w:numPr>
        <w:spacing w:after="0" w:line="240" w:lineRule="auto"/>
        <w:ind w:left="720" w:right="720"/>
        <w:rPr>
          <w:rFonts w:ascii="Tunga" w:hAnsi="Tunga"/>
        </w:rPr>
      </w:pPr>
      <w:r w:rsidRPr="006273AE">
        <w:rPr>
          <w:rFonts w:ascii="Tunga" w:hAnsi="Tunga"/>
        </w:rPr>
        <w:t>Special market</w:t>
      </w:r>
    </w:p>
    <w:p w:rsidR="00E42A75" w:rsidRPr="006273AE" w:rsidRDefault="00E42A75" w:rsidP="00E42A75">
      <w:pPr>
        <w:ind w:left="720" w:right="720"/>
        <w:rPr>
          <w:rFonts w:ascii="Tunga" w:hAnsi="Tunga"/>
        </w:rPr>
      </w:pPr>
    </w:p>
    <w:p w:rsidR="00E42A75" w:rsidRPr="006273AE" w:rsidRDefault="00E42A75" w:rsidP="00E42A75">
      <w:pPr>
        <w:numPr>
          <w:ilvl w:val="0"/>
          <w:numId w:val="1"/>
        </w:numPr>
        <w:spacing w:after="0" w:line="240" w:lineRule="auto"/>
        <w:ind w:left="720" w:right="720"/>
        <w:rPr>
          <w:rFonts w:ascii="Tunga" w:hAnsi="Tunga"/>
          <w:b/>
        </w:rPr>
      </w:pPr>
      <w:r w:rsidRPr="006273AE">
        <w:rPr>
          <w:rFonts w:ascii="Tunga" w:hAnsi="Tunga"/>
          <w:b/>
        </w:rPr>
        <w:t>A company is making an investment in a project whose net present value is</w:t>
      </w:r>
    </w:p>
    <w:p w:rsidR="00E42A75" w:rsidRPr="006273AE" w:rsidRDefault="00E42A75" w:rsidP="00E42A75">
      <w:pPr>
        <w:ind w:left="720" w:right="720"/>
        <w:rPr>
          <w:rFonts w:ascii="Tunga" w:hAnsi="Tunga"/>
          <w:b/>
        </w:rPr>
      </w:pPr>
      <w:proofErr w:type="gramStart"/>
      <w:r w:rsidRPr="006273AE">
        <w:rPr>
          <w:rFonts w:ascii="Tunga" w:hAnsi="Tunga"/>
          <w:b/>
        </w:rPr>
        <w:t>-$5000.</w:t>
      </w:r>
      <w:proofErr w:type="gramEnd"/>
      <w:r w:rsidRPr="006273AE">
        <w:rPr>
          <w:rFonts w:ascii="Tunga" w:hAnsi="Tunga"/>
          <w:b/>
        </w:rPr>
        <w:t xml:space="preserve"> This investment decision will have ___________</w:t>
      </w:r>
      <w:proofErr w:type="spellStart"/>
      <w:r w:rsidRPr="006273AE">
        <w:rPr>
          <w:rFonts w:ascii="Tunga" w:hAnsi="Tunga"/>
          <w:b/>
        </w:rPr>
        <w:t>affect</w:t>
      </w:r>
      <w:proofErr w:type="spellEnd"/>
      <w:r w:rsidRPr="006273AE">
        <w:rPr>
          <w:rFonts w:ascii="Tunga" w:hAnsi="Tunga"/>
          <w:b/>
        </w:rPr>
        <w:t xml:space="preserve"> on share value.</w:t>
      </w:r>
    </w:p>
    <w:p w:rsidR="00E42A75" w:rsidRPr="006273AE" w:rsidRDefault="00E42A75" w:rsidP="00E42A75">
      <w:pPr>
        <w:numPr>
          <w:ilvl w:val="0"/>
          <w:numId w:val="3"/>
        </w:numPr>
        <w:spacing w:after="0" w:line="240" w:lineRule="auto"/>
        <w:ind w:right="720"/>
        <w:rPr>
          <w:rFonts w:ascii="Tunga" w:hAnsi="Tunga"/>
        </w:rPr>
      </w:pPr>
      <w:r w:rsidRPr="006273AE">
        <w:rPr>
          <w:rFonts w:ascii="Tunga" w:hAnsi="Tunga"/>
        </w:rPr>
        <w:t>Positive</w:t>
      </w:r>
    </w:p>
    <w:p w:rsidR="00E42A75" w:rsidRPr="006273AE" w:rsidRDefault="00E42A75" w:rsidP="00E42A75">
      <w:pPr>
        <w:numPr>
          <w:ilvl w:val="0"/>
          <w:numId w:val="3"/>
        </w:numPr>
        <w:spacing w:after="0" w:line="240" w:lineRule="auto"/>
        <w:ind w:right="720"/>
        <w:rPr>
          <w:rFonts w:ascii="Tunga" w:hAnsi="Tunga"/>
          <w:highlight w:val="darkGray"/>
        </w:rPr>
      </w:pPr>
      <w:r w:rsidRPr="006273AE">
        <w:rPr>
          <w:rFonts w:ascii="Tunga" w:hAnsi="Tunga"/>
          <w:highlight w:val="darkGray"/>
        </w:rPr>
        <w:t>Negative</w:t>
      </w:r>
    </w:p>
    <w:p w:rsidR="00E42A75" w:rsidRPr="006273AE" w:rsidRDefault="00E42A75" w:rsidP="00E42A75">
      <w:pPr>
        <w:numPr>
          <w:ilvl w:val="0"/>
          <w:numId w:val="3"/>
        </w:numPr>
        <w:spacing w:after="0" w:line="240" w:lineRule="auto"/>
        <w:ind w:right="720"/>
        <w:rPr>
          <w:rFonts w:ascii="Tunga" w:hAnsi="Tunga"/>
        </w:rPr>
      </w:pPr>
      <w:r w:rsidRPr="006273AE">
        <w:rPr>
          <w:rFonts w:ascii="Tunga" w:hAnsi="Tunga"/>
        </w:rPr>
        <w:t>no</w:t>
      </w:r>
    </w:p>
    <w:p w:rsidR="00E42A75" w:rsidRPr="006273AE" w:rsidRDefault="00E42A75" w:rsidP="00E42A75">
      <w:pPr>
        <w:numPr>
          <w:ilvl w:val="0"/>
          <w:numId w:val="3"/>
        </w:numPr>
        <w:spacing w:after="0" w:line="240" w:lineRule="auto"/>
        <w:ind w:right="720"/>
        <w:rPr>
          <w:rFonts w:ascii="Tunga" w:hAnsi="Tunga"/>
        </w:rPr>
      </w:pPr>
      <w:r w:rsidRPr="006273AE">
        <w:rPr>
          <w:rFonts w:ascii="Tunga" w:hAnsi="Tunga"/>
        </w:rPr>
        <w:t>None of the given options</w:t>
      </w:r>
    </w:p>
    <w:p w:rsidR="00E42A75" w:rsidRPr="006273AE" w:rsidRDefault="00E42A75" w:rsidP="00E42A75">
      <w:pPr>
        <w:ind w:left="720" w:right="720"/>
        <w:rPr>
          <w:rFonts w:ascii="Tunga" w:hAnsi="Tunga"/>
        </w:rPr>
      </w:pPr>
    </w:p>
    <w:p w:rsidR="00E42A75" w:rsidRPr="006273AE" w:rsidRDefault="00E42A75" w:rsidP="00E42A75">
      <w:pPr>
        <w:numPr>
          <w:ilvl w:val="1"/>
          <w:numId w:val="3"/>
        </w:numPr>
        <w:tabs>
          <w:tab w:val="num" w:pos="360"/>
        </w:tabs>
        <w:spacing w:after="0" w:line="240" w:lineRule="auto"/>
        <w:ind w:left="720" w:right="720"/>
        <w:rPr>
          <w:rFonts w:ascii="Tunga" w:hAnsi="Tunga"/>
        </w:rPr>
      </w:pPr>
      <w:r w:rsidRPr="006273AE">
        <w:rPr>
          <w:rFonts w:ascii="Tunga" w:hAnsi="Tunga"/>
          <w:b/>
        </w:rPr>
        <w:t>Which option shows shortcomings that relate to payback period method?</w:t>
      </w:r>
    </w:p>
    <w:p w:rsidR="00E42A75" w:rsidRPr="006273AE" w:rsidRDefault="00E42A75" w:rsidP="00E42A75">
      <w:pPr>
        <w:numPr>
          <w:ilvl w:val="0"/>
          <w:numId w:val="4"/>
        </w:numPr>
        <w:spacing w:after="0" w:line="240" w:lineRule="auto"/>
        <w:ind w:right="720"/>
        <w:rPr>
          <w:rFonts w:ascii="Tunga" w:hAnsi="Tunga"/>
        </w:rPr>
      </w:pPr>
      <w:r w:rsidRPr="006273AE">
        <w:rPr>
          <w:rFonts w:ascii="Tunga" w:hAnsi="Tunga"/>
        </w:rPr>
        <w:t>It considers the risk differences</w:t>
      </w:r>
    </w:p>
    <w:p w:rsidR="00E42A75" w:rsidRPr="006273AE" w:rsidRDefault="00E42A75" w:rsidP="00E42A75">
      <w:pPr>
        <w:numPr>
          <w:ilvl w:val="0"/>
          <w:numId w:val="4"/>
        </w:numPr>
        <w:spacing w:after="0" w:line="240" w:lineRule="auto"/>
        <w:ind w:right="720"/>
        <w:rPr>
          <w:rFonts w:ascii="Tunga" w:hAnsi="Tunga"/>
        </w:rPr>
      </w:pPr>
      <w:r w:rsidRPr="006273AE">
        <w:rPr>
          <w:rFonts w:ascii="Tunga" w:hAnsi="Tunga"/>
        </w:rPr>
        <w:t>Time value of money is considered</w:t>
      </w:r>
    </w:p>
    <w:p w:rsidR="00E42A75" w:rsidRPr="006273AE" w:rsidRDefault="00E42A75" w:rsidP="00E42A75">
      <w:pPr>
        <w:numPr>
          <w:ilvl w:val="0"/>
          <w:numId w:val="4"/>
        </w:numPr>
        <w:tabs>
          <w:tab w:val="left" w:pos="2520"/>
        </w:tabs>
        <w:spacing w:after="0" w:line="240" w:lineRule="auto"/>
        <w:ind w:right="720"/>
        <w:rPr>
          <w:rFonts w:ascii="Tunga" w:hAnsi="Tunga"/>
        </w:rPr>
      </w:pPr>
      <w:r w:rsidRPr="006273AE">
        <w:rPr>
          <w:rFonts w:ascii="Tunga" w:hAnsi="Tunga"/>
        </w:rPr>
        <w:t>It provides an objective basis for a particular number for the cutoff  period</w:t>
      </w:r>
    </w:p>
    <w:p w:rsidR="00E42A75" w:rsidRPr="006273AE" w:rsidRDefault="00E42A75" w:rsidP="00E42A75">
      <w:pPr>
        <w:numPr>
          <w:ilvl w:val="0"/>
          <w:numId w:val="4"/>
        </w:numPr>
        <w:tabs>
          <w:tab w:val="left" w:pos="1080"/>
          <w:tab w:val="left" w:pos="1980"/>
        </w:tabs>
        <w:spacing w:after="0" w:line="240" w:lineRule="auto"/>
        <w:ind w:right="720"/>
        <w:rPr>
          <w:rFonts w:ascii="Tunga" w:hAnsi="Tunga"/>
          <w:highlight w:val="darkGray"/>
        </w:rPr>
      </w:pPr>
      <w:r w:rsidRPr="006273AE">
        <w:rPr>
          <w:rFonts w:ascii="Tunga" w:hAnsi="Tunga"/>
          <w:highlight w:val="darkGray"/>
        </w:rPr>
        <w:t>Biased against long term projects i.e. research and development and new projects</w:t>
      </w:r>
    </w:p>
    <w:p w:rsidR="00E42A75" w:rsidRPr="006273AE" w:rsidRDefault="00E42A75" w:rsidP="00E42A75">
      <w:pPr>
        <w:ind w:left="720" w:right="720"/>
        <w:rPr>
          <w:rFonts w:ascii="Tunga" w:hAnsi="Tunga"/>
        </w:rPr>
      </w:pPr>
    </w:p>
    <w:p w:rsidR="00E42A75" w:rsidRPr="006273AE" w:rsidRDefault="00E42A75" w:rsidP="00E42A75">
      <w:pPr>
        <w:numPr>
          <w:ilvl w:val="0"/>
          <w:numId w:val="2"/>
        </w:numPr>
        <w:spacing w:after="0" w:line="240" w:lineRule="auto"/>
        <w:ind w:left="720" w:right="720"/>
        <w:rPr>
          <w:rFonts w:ascii="Tunga" w:hAnsi="Tunga"/>
          <w:b/>
        </w:rPr>
      </w:pPr>
      <w:r w:rsidRPr="006273AE">
        <w:rPr>
          <w:rFonts w:ascii="Tunga" w:hAnsi="Tunga"/>
          <w:b/>
        </w:rPr>
        <w:t>If  two projects A and B are mutually exclusive projects then  it means</w:t>
      </w:r>
    </w:p>
    <w:p w:rsidR="00E42A75" w:rsidRPr="006273AE" w:rsidRDefault="00E42A75" w:rsidP="00E42A75">
      <w:pPr>
        <w:numPr>
          <w:ilvl w:val="1"/>
          <w:numId w:val="2"/>
        </w:numPr>
        <w:tabs>
          <w:tab w:val="num" w:pos="720"/>
        </w:tabs>
        <w:spacing w:after="0" w:line="240" w:lineRule="auto"/>
        <w:ind w:left="720" w:right="720" w:hanging="1800"/>
        <w:rPr>
          <w:rFonts w:ascii="Tunga" w:hAnsi="Tunga"/>
        </w:rPr>
      </w:pPr>
      <w:r w:rsidRPr="006273AE">
        <w:rPr>
          <w:rFonts w:ascii="Tunga" w:hAnsi="Tunga"/>
        </w:rPr>
        <w:t>We have to select both projects at a time</w:t>
      </w:r>
    </w:p>
    <w:p w:rsidR="00E42A75" w:rsidRPr="006273AE" w:rsidRDefault="00E42A75" w:rsidP="00E42A75">
      <w:pPr>
        <w:numPr>
          <w:ilvl w:val="1"/>
          <w:numId w:val="2"/>
        </w:numPr>
        <w:tabs>
          <w:tab w:val="num" w:pos="720"/>
        </w:tabs>
        <w:spacing w:after="0" w:line="240" w:lineRule="auto"/>
        <w:ind w:left="720" w:right="720" w:hanging="1800"/>
        <w:rPr>
          <w:rFonts w:ascii="Tunga" w:hAnsi="Tunga"/>
        </w:rPr>
      </w:pPr>
      <w:r w:rsidRPr="006273AE">
        <w:rPr>
          <w:rFonts w:ascii="Tunga" w:hAnsi="Tunga"/>
        </w:rPr>
        <w:t>The selection of A project prevent the selection of B project</w:t>
      </w:r>
    </w:p>
    <w:p w:rsidR="00E42A75" w:rsidRPr="006273AE" w:rsidRDefault="00E42A75" w:rsidP="00E42A75">
      <w:pPr>
        <w:numPr>
          <w:ilvl w:val="1"/>
          <w:numId w:val="2"/>
        </w:numPr>
        <w:tabs>
          <w:tab w:val="num" w:pos="720"/>
        </w:tabs>
        <w:spacing w:after="0" w:line="240" w:lineRule="auto"/>
        <w:ind w:left="720" w:right="720" w:hanging="1800"/>
        <w:rPr>
          <w:rFonts w:ascii="Tunga" w:hAnsi="Tunga"/>
        </w:rPr>
      </w:pPr>
      <w:r w:rsidRPr="006273AE">
        <w:rPr>
          <w:rFonts w:ascii="Tunga" w:hAnsi="Tunga"/>
        </w:rPr>
        <w:t>The selection of B project prevent the selection of A project</w:t>
      </w:r>
    </w:p>
    <w:p w:rsidR="00E42A75" w:rsidRPr="006273AE" w:rsidRDefault="00E42A75" w:rsidP="00E42A75">
      <w:pPr>
        <w:numPr>
          <w:ilvl w:val="1"/>
          <w:numId w:val="2"/>
        </w:numPr>
        <w:tabs>
          <w:tab w:val="num" w:pos="720"/>
        </w:tabs>
        <w:spacing w:after="0" w:line="240" w:lineRule="auto"/>
        <w:ind w:left="720" w:right="720" w:hanging="1800"/>
        <w:rPr>
          <w:rFonts w:ascii="Tunga" w:hAnsi="Tunga"/>
          <w:highlight w:val="darkGray"/>
        </w:rPr>
      </w:pPr>
      <w:r w:rsidRPr="006273AE">
        <w:rPr>
          <w:rFonts w:ascii="Tunga" w:hAnsi="Tunga"/>
          <w:highlight w:val="darkGray"/>
        </w:rPr>
        <w:t>Both options b and c are true</w:t>
      </w:r>
    </w:p>
    <w:p w:rsidR="00E42A75" w:rsidRPr="006273AE" w:rsidRDefault="00E42A75" w:rsidP="00E42A75">
      <w:pPr>
        <w:ind w:left="720" w:right="720"/>
        <w:rPr>
          <w:rFonts w:ascii="Tunga" w:hAnsi="Tunga"/>
        </w:rPr>
      </w:pPr>
    </w:p>
    <w:p w:rsidR="00E42A75" w:rsidRPr="006273AE" w:rsidRDefault="00E42A75" w:rsidP="00E42A75">
      <w:pPr>
        <w:numPr>
          <w:ilvl w:val="0"/>
          <w:numId w:val="5"/>
        </w:numPr>
        <w:spacing w:after="0" w:line="240" w:lineRule="auto"/>
        <w:ind w:left="720" w:right="720"/>
        <w:rPr>
          <w:rFonts w:ascii="Tunga" w:hAnsi="Tunga"/>
        </w:rPr>
      </w:pPr>
      <w:r w:rsidRPr="006273AE">
        <w:rPr>
          <w:rFonts w:ascii="Tunga" w:hAnsi="Tunga"/>
          <w:b/>
        </w:rPr>
        <w:t>Which of the following expenses is not a tax deductible expense?</w:t>
      </w:r>
    </w:p>
    <w:p w:rsidR="00E42A75" w:rsidRPr="006273AE" w:rsidRDefault="00E42A75" w:rsidP="00E42A75">
      <w:pPr>
        <w:numPr>
          <w:ilvl w:val="1"/>
          <w:numId w:val="5"/>
        </w:numPr>
        <w:tabs>
          <w:tab w:val="clear" w:pos="1440"/>
          <w:tab w:val="num" w:pos="720"/>
        </w:tabs>
        <w:spacing w:after="0" w:line="240" w:lineRule="auto"/>
        <w:ind w:left="720" w:right="720" w:hanging="1080"/>
        <w:rPr>
          <w:rFonts w:ascii="Tunga" w:hAnsi="Tunga"/>
        </w:rPr>
      </w:pPr>
      <w:r w:rsidRPr="006273AE">
        <w:rPr>
          <w:rFonts w:ascii="Tunga" w:hAnsi="Tunga"/>
        </w:rPr>
        <w:t>Depreciation</w:t>
      </w:r>
    </w:p>
    <w:p w:rsidR="00E42A75" w:rsidRPr="006273AE" w:rsidRDefault="00E42A75" w:rsidP="00E42A75">
      <w:pPr>
        <w:numPr>
          <w:ilvl w:val="1"/>
          <w:numId w:val="5"/>
        </w:numPr>
        <w:tabs>
          <w:tab w:val="clear" w:pos="1440"/>
          <w:tab w:val="num" w:pos="720"/>
        </w:tabs>
        <w:spacing w:after="0" w:line="240" w:lineRule="auto"/>
        <w:ind w:left="720" w:right="720" w:hanging="1080"/>
        <w:rPr>
          <w:rFonts w:ascii="Tunga" w:hAnsi="Tunga"/>
        </w:rPr>
      </w:pPr>
      <w:r w:rsidRPr="006273AE">
        <w:rPr>
          <w:rFonts w:ascii="Tunga" w:hAnsi="Tunga"/>
        </w:rPr>
        <w:t>Interest expense</w:t>
      </w:r>
    </w:p>
    <w:p w:rsidR="00E42A75" w:rsidRPr="006273AE" w:rsidRDefault="00E42A75" w:rsidP="00E42A75">
      <w:pPr>
        <w:numPr>
          <w:ilvl w:val="1"/>
          <w:numId w:val="5"/>
        </w:numPr>
        <w:tabs>
          <w:tab w:val="clear" w:pos="1440"/>
          <w:tab w:val="num" w:pos="720"/>
        </w:tabs>
        <w:spacing w:after="0" w:line="240" w:lineRule="auto"/>
        <w:ind w:left="720" w:right="720" w:hanging="1080"/>
        <w:rPr>
          <w:rFonts w:ascii="Tunga" w:hAnsi="Tunga"/>
          <w:highlight w:val="darkGray"/>
        </w:rPr>
      </w:pPr>
      <w:r w:rsidRPr="006273AE">
        <w:rPr>
          <w:rFonts w:ascii="Tunga" w:hAnsi="Tunga"/>
          <w:highlight w:val="darkGray"/>
        </w:rPr>
        <w:t>Dividend paid</w:t>
      </w:r>
    </w:p>
    <w:p w:rsidR="00E42A75" w:rsidRPr="006273AE" w:rsidRDefault="00E42A75" w:rsidP="00E42A75">
      <w:pPr>
        <w:numPr>
          <w:ilvl w:val="1"/>
          <w:numId w:val="5"/>
        </w:numPr>
        <w:tabs>
          <w:tab w:val="clear" w:pos="1440"/>
          <w:tab w:val="num" w:pos="720"/>
        </w:tabs>
        <w:spacing w:after="0" w:line="240" w:lineRule="auto"/>
        <w:ind w:left="720" w:right="720" w:hanging="1080"/>
        <w:rPr>
          <w:rFonts w:ascii="Tunga" w:hAnsi="Tunga"/>
        </w:rPr>
      </w:pPr>
      <w:r w:rsidRPr="006273AE">
        <w:rPr>
          <w:rFonts w:ascii="Tunga" w:hAnsi="Tunga"/>
        </w:rPr>
        <w:t>Selling expense</w:t>
      </w:r>
    </w:p>
    <w:p w:rsidR="00E42A75" w:rsidRPr="006273AE" w:rsidRDefault="00E42A75" w:rsidP="00E42A75">
      <w:pPr>
        <w:ind w:left="720" w:right="720"/>
        <w:rPr>
          <w:rFonts w:ascii="Gautami" w:hAnsi="Gautami"/>
        </w:rPr>
      </w:pPr>
    </w:p>
    <w:p w:rsidR="00E42A75" w:rsidRPr="006273AE" w:rsidRDefault="00E42A75" w:rsidP="00E42A75">
      <w:pPr>
        <w:numPr>
          <w:ilvl w:val="0"/>
          <w:numId w:val="5"/>
        </w:numPr>
        <w:spacing w:after="0" w:line="240" w:lineRule="auto"/>
        <w:ind w:left="720" w:right="720"/>
        <w:rPr>
          <w:rFonts w:ascii="Gautami" w:hAnsi="Gautami"/>
          <w:b/>
        </w:rPr>
      </w:pPr>
      <w:r w:rsidRPr="006273AE">
        <w:rPr>
          <w:rFonts w:ascii="Gautami" w:hAnsi="Gautami"/>
          <w:b/>
        </w:rPr>
        <w:t>A firm's investment decision is also called the:</w:t>
      </w:r>
    </w:p>
    <w:p w:rsidR="00E42A75" w:rsidRPr="006273AE" w:rsidRDefault="00E42A75" w:rsidP="00E42A75">
      <w:pPr>
        <w:numPr>
          <w:ilvl w:val="0"/>
          <w:numId w:val="6"/>
        </w:numPr>
        <w:spacing w:after="0" w:line="240" w:lineRule="auto"/>
        <w:ind w:left="720" w:right="720"/>
        <w:rPr>
          <w:rFonts w:ascii="Gautami" w:hAnsi="Gautami"/>
        </w:rPr>
      </w:pPr>
      <w:r w:rsidRPr="006273AE">
        <w:rPr>
          <w:rFonts w:ascii="Gautami" w:hAnsi="Gautami"/>
        </w:rPr>
        <w:t>financing decision</w:t>
      </w:r>
    </w:p>
    <w:p w:rsidR="00E42A75" w:rsidRPr="006273AE" w:rsidRDefault="00E42A75" w:rsidP="00E42A75">
      <w:pPr>
        <w:numPr>
          <w:ilvl w:val="0"/>
          <w:numId w:val="6"/>
        </w:numPr>
        <w:spacing w:after="0" w:line="240" w:lineRule="auto"/>
        <w:ind w:left="720" w:right="720"/>
        <w:rPr>
          <w:rFonts w:ascii="Gautami" w:hAnsi="Gautami"/>
          <w:highlight w:val="darkGray"/>
        </w:rPr>
      </w:pPr>
      <w:r w:rsidRPr="006273AE">
        <w:rPr>
          <w:rFonts w:ascii="Gautami" w:hAnsi="Gautami"/>
          <w:highlight w:val="darkGray"/>
        </w:rPr>
        <w:t>capital budgeting decision</w:t>
      </w:r>
    </w:p>
    <w:p w:rsidR="00E42A75" w:rsidRPr="006273AE" w:rsidRDefault="00E42A75" w:rsidP="00E42A75">
      <w:pPr>
        <w:numPr>
          <w:ilvl w:val="0"/>
          <w:numId w:val="6"/>
        </w:numPr>
        <w:spacing w:after="0" w:line="240" w:lineRule="auto"/>
        <w:ind w:left="720" w:right="720"/>
        <w:rPr>
          <w:rFonts w:ascii="Gautami" w:hAnsi="Gautami"/>
        </w:rPr>
      </w:pPr>
      <w:r w:rsidRPr="006273AE">
        <w:rPr>
          <w:rFonts w:ascii="Gautami" w:hAnsi="Gautami"/>
        </w:rPr>
        <w:t>liquidity decision</w:t>
      </w:r>
    </w:p>
    <w:p w:rsidR="00E42A75" w:rsidRPr="006273AE" w:rsidRDefault="00E42A75" w:rsidP="00E42A75">
      <w:pPr>
        <w:numPr>
          <w:ilvl w:val="0"/>
          <w:numId w:val="6"/>
        </w:numPr>
        <w:spacing w:after="0" w:line="240" w:lineRule="auto"/>
        <w:ind w:left="720" w:right="720"/>
        <w:rPr>
          <w:rFonts w:ascii="Gautami" w:hAnsi="Gautami"/>
        </w:rPr>
      </w:pPr>
      <w:r w:rsidRPr="006273AE">
        <w:rPr>
          <w:rFonts w:ascii="Gautami" w:hAnsi="Gautami"/>
        </w:rPr>
        <w:t>debt financing</w:t>
      </w:r>
    </w:p>
    <w:p w:rsidR="00E42A75" w:rsidRPr="006273AE" w:rsidRDefault="00E42A75" w:rsidP="00E42A75">
      <w:pPr>
        <w:ind w:left="720" w:right="720"/>
        <w:rPr>
          <w:rFonts w:ascii="Tunga" w:hAnsi="Tunga"/>
        </w:rPr>
      </w:pPr>
    </w:p>
    <w:tbl>
      <w:tblPr>
        <w:tblpPr w:leftFromText="180" w:rightFromText="180" w:vertAnchor="text" w:horzAnchor="margin" w:tblpXSpec="center" w:tblpY="867"/>
        <w:tblW w:w="2010" w:type="dxa"/>
        <w:tblCellSpacing w:w="0" w:type="dxa"/>
        <w:tblCellMar>
          <w:left w:w="0" w:type="dxa"/>
          <w:right w:w="0" w:type="dxa"/>
        </w:tblCellMar>
        <w:tblLook w:val="0000" w:firstRow="0" w:lastRow="0" w:firstColumn="0" w:lastColumn="0" w:noHBand="0" w:noVBand="0"/>
      </w:tblPr>
      <w:tblGrid>
        <w:gridCol w:w="1604"/>
        <w:gridCol w:w="1639"/>
      </w:tblGrid>
      <w:tr w:rsidR="00E42A75" w:rsidRPr="006273AE" w:rsidTr="00A47ECD">
        <w:trPr>
          <w:trHeight w:val="267"/>
          <w:tblCellSpacing w:w="0" w:type="dxa"/>
        </w:trPr>
        <w:tc>
          <w:tcPr>
            <w:tcW w:w="750" w:type="dxa"/>
            <w:tcBorders>
              <w:top w:val="single" w:sz="12" w:space="0" w:color="000000"/>
              <w:left w:val="single" w:sz="12" w:space="0" w:color="000000"/>
              <w:bottom w:val="single" w:sz="6" w:space="0" w:color="000000"/>
              <w:right w:val="single" w:sz="6"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b/>
              </w:rPr>
            </w:pPr>
            <w:r w:rsidRPr="006273AE">
              <w:rPr>
                <w:rFonts w:ascii="Tunga" w:hAnsi="Tunga" w:cs="Arial"/>
                <w:b/>
              </w:rPr>
              <w:t>Year</w:t>
            </w:r>
          </w:p>
        </w:tc>
        <w:tc>
          <w:tcPr>
            <w:tcW w:w="1260" w:type="dxa"/>
            <w:tcBorders>
              <w:top w:val="single" w:sz="12" w:space="0" w:color="000000"/>
              <w:left w:val="single" w:sz="6" w:space="0" w:color="000000"/>
              <w:bottom w:val="single" w:sz="6" w:space="0" w:color="000000"/>
              <w:right w:val="single" w:sz="12"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b/>
              </w:rPr>
            </w:pPr>
            <w:r w:rsidRPr="006273AE">
              <w:rPr>
                <w:rFonts w:ascii="Tunga" w:hAnsi="Tunga" w:cs="Arial"/>
                <w:b/>
              </w:rPr>
              <w:t>Cash Flow</w:t>
            </w:r>
          </w:p>
        </w:tc>
      </w:tr>
      <w:tr w:rsidR="00E42A75" w:rsidRPr="006273AE" w:rsidTr="00A47ECD">
        <w:trPr>
          <w:trHeight w:val="165"/>
          <w:tblCellSpacing w:w="0" w:type="dxa"/>
        </w:trPr>
        <w:tc>
          <w:tcPr>
            <w:tcW w:w="750" w:type="dxa"/>
            <w:tcBorders>
              <w:top w:val="single" w:sz="6" w:space="0" w:color="000000"/>
              <w:left w:val="single" w:sz="12" w:space="0" w:color="000000"/>
              <w:right w:val="single" w:sz="6"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1</w:t>
            </w:r>
          </w:p>
        </w:tc>
        <w:tc>
          <w:tcPr>
            <w:tcW w:w="1260" w:type="dxa"/>
            <w:tcBorders>
              <w:top w:val="single" w:sz="6" w:space="0" w:color="000000"/>
              <w:left w:val="single" w:sz="6" w:space="0" w:color="000000"/>
              <w:right w:val="single" w:sz="12"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$100</w:t>
            </w:r>
          </w:p>
        </w:tc>
      </w:tr>
      <w:tr w:rsidR="00E42A75" w:rsidRPr="006273AE" w:rsidTr="00A47ECD">
        <w:trPr>
          <w:trHeight w:val="153"/>
          <w:tblCellSpacing w:w="0" w:type="dxa"/>
        </w:trPr>
        <w:tc>
          <w:tcPr>
            <w:tcW w:w="750" w:type="dxa"/>
            <w:tcBorders>
              <w:left w:val="single" w:sz="12" w:space="0" w:color="000000"/>
              <w:right w:val="single" w:sz="6"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2</w:t>
            </w:r>
          </w:p>
        </w:tc>
        <w:tc>
          <w:tcPr>
            <w:tcW w:w="1260" w:type="dxa"/>
            <w:tcBorders>
              <w:left w:val="single" w:sz="6" w:space="0" w:color="000000"/>
              <w:right w:val="single" w:sz="12"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200</w:t>
            </w:r>
          </w:p>
        </w:tc>
      </w:tr>
      <w:tr w:rsidR="00E42A75" w:rsidRPr="006273AE" w:rsidTr="00A47ECD">
        <w:trPr>
          <w:trHeight w:val="80"/>
          <w:tblCellSpacing w:w="0" w:type="dxa"/>
        </w:trPr>
        <w:tc>
          <w:tcPr>
            <w:tcW w:w="750" w:type="dxa"/>
            <w:tcBorders>
              <w:left w:val="single" w:sz="12" w:space="0" w:color="000000"/>
              <w:bottom w:val="single" w:sz="12" w:space="0" w:color="000000"/>
              <w:right w:val="single" w:sz="6"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3</w:t>
            </w:r>
          </w:p>
        </w:tc>
        <w:tc>
          <w:tcPr>
            <w:tcW w:w="1260" w:type="dxa"/>
            <w:tcBorders>
              <w:left w:val="single" w:sz="6" w:space="0" w:color="000000"/>
              <w:bottom w:val="single" w:sz="12" w:space="0" w:color="000000"/>
              <w:right w:val="single" w:sz="12" w:space="0" w:color="000000"/>
            </w:tcBorders>
            <w:vAlign w:val="center"/>
          </w:tcPr>
          <w:p w:rsidR="00E42A75" w:rsidRPr="006273AE" w:rsidRDefault="00E42A75" w:rsidP="00A47ECD">
            <w:pPr>
              <w:autoSpaceDE w:val="0"/>
              <w:autoSpaceDN w:val="0"/>
              <w:adjustRightInd w:val="0"/>
              <w:ind w:left="720" w:right="720" w:hanging="270"/>
              <w:outlineLvl w:val="1"/>
              <w:rPr>
                <w:rFonts w:ascii="Tunga" w:hAnsi="Tunga" w:cs="Arial"/>
              </w:rPr>
            </w:pPr>
            <w:r w:rsidRPr="006273AE">
              <w:rPr>
                <w:rFonts w:ascii="Tunga" w:hAnsi="Tunga" w:cs="Arial"/>
              </w:rPr>
              <w:t>500</w:t>
            </w:r>
          </w:p>
        </w:tc>
      </w:tr>
    </w:tbl>
    <w:p w:rsidR="00E42A75" w:rsidRPr="006273AE" w:rsidRDefault="00E42A75" w:rsidP="00E42A75">
      <w:pPr>
        <w:spacing w:line="360" w:lineRule="auto"/>
        <w:ind w:left="720" w:right="720"/>
        <w:rPr>
          <w:rFonts w:ascii="Gautami" w:hAnsi="Gautami"/>
          <w:b/>
        </w:rPr>
      </w:pPr>
      <w:r w:rsidRPr="006273AE">
        <w:rPr>
          <w:rFonts w:ascii="Gautami" w:hAnsi="Gautami"/>
          <w:b/>
        </w:rPr>
        <w:t>10. The Projected cash flows from a proposed investment are:</w:t>
      </w:r>
    </w:p>
    <w:p w:rsidR="00E42A75" w:rsidRPr="006273AE" w:rsidRDefault="00E42A75" w:rsidP="00E42A75">
      <w:pPr>
        <w:autoSpaceDE w:val="0"/>
        <w:autoSpaceDN w:val="0"/>
        <w:adjustRightInd w:val="0"/>
        <w:ind w:left="720" w:right="720"/>
        <w:outlineLvl w:val="1"/>
        <w:rPr>
          <w:rFonts w:ascii="Tunga" w:hAnsi="Tunga" w:cs="Arial"/>
        </w:rPr>
      </w:pPr>
    </w:p>
    <w:p w:rsidR="00E42A75" w:rsidRPr="006273AE" w:rsidRDefault="00E42A75" w:rsidP="00E42A75">
      <w:pPr>
        <w:ind w:left="720" w:right="720"/>
        <w:rPr>
          <w:rFonts w:ascii="Tunga" w:hAnsi="Tunga"/>
        </w:rPr>
      </w:pPr>
    </w:p>
    <w:p w:rsidR="00032CB9" w:rsidRDefault="00032CB9"/>
    <w:sectPr w:rsidR="00032CB9" w:rsidSect="00E42A75">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7C8"/>
    <w:multiLevelType w:val="hybridMultilevel"/>
    <w:tmpl w:val="7A0244DC"/>
    <w:lvl w:ilvl="0" w:tplc="A85A032C">
      <w:start w:val="1"/>
      <w:numFmt w:val="decimal"/>
      <w:lvlText w:val="%1."/>
      <w:lvlJc w:val="left"/>
      <w:pPr>
        <w:tabs>
          <w:tab w:val="num" w:pos="360"/>
        </w:tabs>
        <w:ind w:left="360" w:hanging="360"/>
      </w:pPr>
      <w:rPr>
        <w:rFonts w:hint="default"/>
        <w:b/>
      </w:rPr>
    </w:lvl>
    <w:lvl w:ilvl="1" w:tplc="F1169626">
      <w:start w:val="1"/>
      <w:numFmt w:val="lowerLetter"/>
      <w:lvlText w:val="%2."/>
      <w:lvlJc w:val="left"/>
      <w:pPr>
        <w:tabs>
          <w:tab w:val="num" w:pos="-750"/>
        </w:tabs>
        <w:ind w:left="-750" w:hanging="360"/>
      </w:pPr>
      <w:rPr>
        <w:rFonts w:hint="default"/>
        <w:b/>
      </w:rPr>
    </w:lvl>
    <w:lvl w:ilvl="2" w:tplc="10A27C2E">
      <w:start w:val="19"/>
      <w:numFmt w:val="decimal"/>
      <w:lvlText w:val="%3"/>
      <w:lvlJc w:val="left"/>
      <w:pPr>
        <w:tabs>
          <w:tab w:val="num" w:pos="150"/>
        </w:tabs>
        <w:ind w:left="150" w:hanging="360"/>
      </w:pPr>
      <w:rPr>
        <w:rFonts w:hint="default"/>
      </w:rPr>
    </w:lvl>
    <w:lvl w:ilvl="3" w:tplc="7F30E594">
      <w:start w:val="1"/>
      <w:numFmt w:val="lowerLetter"/>
      <w:lvlText w:val="%4."/>
      <w:lvlJc w:val="left"/>
      <w:pPr>
        <w:tabs>
          <w:tab w:val="num" w:pos="690"/>
        </w:tabs>
        <w:ind w:left="690" w:hanging="360"/>
      </w:pPr>
      <w:rPr>
        <w:rFonts w:hint="default"/>
        <w:b w:val="0"/>
      </w:rPr>
    </w:lvl>
    <w:lvl w:ilvl="4" w:tplc="DF8237CA">
      <w:start w:val="1"/>
      <w:numFmt w:val="lowerLetter"/>
      <w:lvlText w:val="%5."/>
      <w:lvlJc w:val="left"/>
      <w:pPr>
        <w:tabs>
          <w:tab w:val="num" w:pos="1410"/>
        </w:tabs>
        <w:ind w:left="1410" w:hanging="360"/>
      </w:pPr>
      <w:rPr>
        <w:rFonts w:hint="default"/>
        <w:b w:val="0"/>
      </w:rPr>
    </w:lvl>
    <w:lvl w:ilvl="5" w:tplc="0409001B" w:tentative="1">
      <w:start w:val="1"/>
      <w:numFmt w:val="lowerRoman"/>
      <w:lvlText w:val="%6."/>
      <w:lvlJc w:val="right"/>
      <w:pPr>
        <w:tabs>
          <w:tab w:val="num" w:pos="2130"/>
        </w:tabs>
        <w:ind w:left="2130" w:hanging="180"/>
      </w:pPr>
    </w:lvl>
    <w:lvl w:ilvl="6" w:tplc="0409000F" w:tentative="1">
      <w:start w:val="1"/>
      <w:numFmt w:val="decimal"/>
      <w:lvlText w:val="%7."/>
      <w:lvlJc w:val="left"/>
      <w:pPr>
        <w:tabs>
          <w:tab w:val="num" w:pos="2850"/>
        </w:tabs>
        <w:ind w:left="2850" w:hanging="360"/>
      </w:pPr>
    </w:lvl>
    <w:lvl w:ilvl="7" w:tplc="04090019" w:tentative="1">
      <w:start w:val="1"/>
      <w:numFmt w:val="lowerLetter"/>
      <w:lvlText w:val="%8."/>
      <w:lvlJc w:val="left"/>
      <w:pPr>
        <w:tabs>
          <w:tab w:val="num" w:pos="3570"/>
        </w:tabs>
        <w:ind w:left="3570" w:hanging="360"/>
      </w:pPr>
    </w:lvl>
    <w:lvl w:ilvl="8" w:tplc="0409001B" w:tentative="1">
      <w:start w:val="1"/>
      <w:numFmt w:val="lowerRoman"/>
      <w:lvlText w:val="%9."/>
      <w:lvlJc w:val="right"/>
      <w:pPr>
        <w:tabs>
          <w:tab w:val="num" w:pos="4290"/>
        </w:tabs>
        <w:ind w:left="4290" w:hanging="180"/>
      </w:pPr>
    </w:lvl>
  </w:abstractNum>
  <w:abstractNum w:abstractNumId="1">
    <w:nsid w:val="18EF4253"/>
    <w:multiLevelType w:val="hybridMultilevel"/>
    <w:tmpl w:val="E7CE90A4"/>
    <w:lvl w:ilvl="0" w:tplc="DF8237CA">
      <w:start w:val="1"/>
      <w:numFmt w:val="lowerLetter"/>
      <w:lvlText w:val="%1."/>
      <w:lvlJc w:val="left"/>
      <w:pPr>
        <w:tabs>
          <w:tab w:val="num" w:pos="720"/>
        </w:tabs>
        <w:ind w:left="720" w:hanging="360"/>
      </w:pPr>
      <w:rPr>
        <w:rFonts w:hint="default"/>
        <w:b w:val="0"/>
      </w:rPr>
    </w:lvl>
    <w:lvl w:ilvl="1" w:tplc="07A2327C">
      <w:start w:val="7"/>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9B794E"/>
    <w:multiLevelType w:val="hybridMultilevel"/>
    <w:tmpl w:val="058E605C"/>
    <w:lvl w:ilvl="0" w:tplc="DF8237CA">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488F6913"/>
    <w:multiLevelType w:val="hybridMultilevel"/>
    <w:tmpl w:val="A1D60456"/>
    <w:lvl w:ilvl="0" w:tplc="28EC42F6">
      <w:start w:val="8"/>
      <w:numFmt w:val="decimal"/>
      <w:lvlText w:val="%1."/>
      <w:lvlJc w:val="left"/>
      <w:pPr>
        <w:tabs>
          <w:tab w:val="num" w:pos="360"/>
        </w:tabs>
        <w:ind w:left="360" w:hanging="360"/>
      </w:pPr>
      <w:rPr>
        <w:rFonts w:hint="default"/>
        <w:b/>
      </w:rPr>
    </w:lvl>
    <w:lvl w:ilvl="1" w:tplc="7F30E594">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A2226F"/>
    <w:multiLevelType w:val="hybridMultilevel"/>
    <w:tmpl w:val="869A4732"/>
    <w:lvl w:ilvl="0" w:tplc="28EC42F6">
      <w:start w:val="8"/>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94B7394"/>
    <w:multiLevelType w:val="hybridMultilevel"/>
    <w:tmpl w:val="6DAE2092"/>
    <w:lvl w:ilvl="0" w:tplc="7F30E594">
      <w:start w:val="1"/>
      <w:numFmt w:val="lowerLetter"/>
      <w:lvlText w:val="%1."/>
      <w:lvlJc w:val="left"/>
      <w:pPr>
        <w:tabs>
          <w:tab w:val="num" w:pos="1320"/>
        </w:tabs>
        <w:ind w:left="1320" w:hanging="360"/>
      </w:pPr>
      <w:rPr>
        <w:rFonts w:hint="default"/>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75"/>
    <w:rsid w:val="00032CB9"/>
    <w:rsid w:val="00E4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cp:revision>
  <dcterms:created xsi:type="dcterms:W3CDTF">2020-03-21T02:45:00Z</dcterms:created>
  <dcterms:modified xsi:type="dcterms:W3CDTF">2020-03-21T02:46:00Z</dcterms:modified>
</cp:coreProperties>
</file>